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77D3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RAJATH FINANCE LIMITED</w:t>
      </w:r>
    </w:p>
    <w:p w14:paraId="675F3BA6" w14:textId="77777777" w:rsid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65D7F7C9" w14:textId="0BCC0D96" w:rsidR="006427E9" w:rsidRDefault="006427E9" w:rsidP="006427E9">
      <w:pPr>
        <w:autoSpaceDE w:val="0"/>
        <w:autoSpaceDN w:val="0"/>
        <w:adjustRightInd w:val="0"/>
        <w:spacing w:after="0" w:line="240" w:lineRule="auto"/>
        <w:ind w:right="-330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POLICY ON SUCCESSION PLANNING FOR THE BOARD AND SENIOR</w:t>
      </w:r>
      <w:r>
        <w:rPr>
          <w:rFonts w:ascii="Bookman Old Style" w:hAnsi="Bookman Old Style" w:cs="Cambria-Bold"/>
          <w:b/>
          <w:bCs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MANAGEMENT</w:t>
      </w:r>
    </w:p>
    <w:p w14:paraId="4D0BD788" w14:textId="77777777" w:rsidR="006427E9" w:rsidRDefault="006427E9" w:rsidP="006427E9">
      <w:pPr>
        <w:autoSpaceDE w:val="0"/>
        <w:autoSpaceDN w:val="0"/>
        <w:adjustRightInd w:val="0"/>
        <w:spacing w:after="0" w:line="240" w:lineRule="auto"/>
        <w:ind w:right="-330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0908AB0A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ind w:right="-330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2949D042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Introduction:</w:t>
      </w:r>
    </w:p>
    <w:p w14:paraId="7C56FACD" w14:textId="77777777" w:rsidR="00A115F0" w:rsidRDefault="00A115F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0FC73F95" w14:textId="55B0D7E3" w:rsidR="006427E9" w:rsidRPr="006427E9" w:rsidRDefault="006427E9" w:rsidP="00EA23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The Securities and Exchange Board of India (SEBI) has mandated as per the Regulation 17(4)</w:t>
      </w:r>
    </w:p>
    <w:p w14:paraId="69DEF52B" w14:textId="77777777" w:rsidR="006427E9" w:rsidRPr="006427E9" w:rsidRDefault="006427E9" w:rsidP="00EA23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of the SEBI (Listing Obligations and Disclosure Requirements) Regulations, 2015 that the</w:t>
      </w:r>
    </w:p>
    <w:p w14:paraId="567C8228" w14:textId="534772B0" w:rsidR="006427E9" w:rsidRPr="006427E9" w:rsidRDefault="006427E9" w:rsidP="00EA23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Board of Directors of every listed company shall satisfy itself that plans are in place for orderly</w:t>
      </w:r>
      <w:r w:rsidR="00EA2381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succession for appointments to the Board of Directors and Senior Management.</w:t>
      </w:r>
    </w:p>
    <w:p w14:paraId="2915640D" w14:textId="77777777" w:rsidR="00EA2381" w:rsidRDefault="00EA2381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522AC2A9" w14:textId="2B7B0256" w:rsidR="006427E9" w:rsidRDefault="006427E9" w:rsidP="00EA23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As per the Nomination and Remuneration Policy adopted by the Company, the Nomination and</w:t>
      </w:r>
      <w:r w:rsidR="00EA2381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Remuneration Committee is responsible for developing a succession plan for the Board and</w:t>
      </w:r>
      <w:r w:rsidR="00EA2381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Senior Management. Further, per the Listing Regulations, overseeing succession planning is</w:t>
      </w:r>
      <w:r w:rsidR="00EA2381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one of the key functions of the Board of Directors.</w:t>
      </w:r>
    </w:p>
    <w:p w14:paraId="2C3FED30" w14:textId="77777777" w:rsidR="00EA2381" w:rsidRPr="006427E9" w:rsidRDefault="00EA2381" w:rsidP="00EA23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4D7ABB64" w14:textId="77777777" w:rsidR="006427E9" w:rsidRPr="006427E9" w:rsidRDefault="006427E9" w:rsidP="00EA23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Accordingly, the objective of this policy is to make a plan for orderly succession for appointment</w:t>
      </w:r>
    </w:p>
    <w:p w14:paraId="7873B7AD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to the Board and the Senior Management.</w:t>
      </w:r>
    </w:p>
    <w:p w14:paraId="26255FFC" w14:textId="77777777" w:rsidR="007E1AFE" w:rsidRDefault="007E1AFE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0A5A6B93" w14:textId="4664DAA9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Definitions:</w:t>
      </w:r>
    </w:p>
    <w:p w14:paraId="68FFC1E3" w14:textId="77777777" w:rsidR="007E1AFE" w:rsidRDefault="007E1AFE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49DDA677" w14:textId="02E0112E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“</w:t>
      </w: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Company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” means Rajath Finance Limited.</w:t>
      </w:r>
    </w:p>
    <w:p w14:paraId="35F0B360" w14:textId="77777777" w:rsidR="007E1AFE" w:rsidRDefault="007E1AFE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574808AF" w14:textId="36BE19CE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“</w:t>
      </w: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Board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” means Board of Directors of the Company as may be constituted/re-constituted from</w:t>
      </w:r>
    </w:p>
    <w:p w14:paraId="0181F92B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time to time.</w:t>
      </w:r>
    </w:p>
    <w:p w14:paraId="1A469316" w14:textId="77777777" w:rsidR="007E1AFE" w:rsidRDefault="007E1AFE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378E9A34" w14:textId="2F1721B0" w:rsidR="006427E9" w:rsidRPr="006427E9" w:rsidRDefault="006427E9" w:rsidP="00A3290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“</w:t>
      </w: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Committee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” means the “Nomination and Remuneration Committee” of the Board</w:t>
      </w:r>
      <w:r w:rsidR="00A32907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constituted/re-constituted from time to time, under the provisions of Regulation 19 of the Listing</w:t>
      </w:r>
      <w:r w:rsidR="007E1AFE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Regulations, and Section 178 of the Companies Act, 2013, as amended.</w:t>
      </w:r>
    </w:p>
    <w:p w14:paraId="3A4B4929" w14:textId="77777777" w:rsidR="007E1AFE" w:rsidRDefault="007E1AFE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74BE851E" w14:textId="208570F6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“</w:t>
      </w: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Independent Director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” means a Director referred to in Section 149 (6) of the Companies Act,</w:t>
      </w:r>
    </w:p>
    <w:p w14:paraId="4C05D3FF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2013.</w:t>
      </w:r>
    </w:p>
    <w:p w14:paraId="59746FD3" w14:textId="77777777" w:rsidR="00CB3012" w:rsidRDefault="00CB3012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16A2C078" w14:textId="6AEB2196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 xml:space="preserve">“Key Managerial Personnel”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means:</w:t>
      </w:r>
    </w:p>
    <w:p w14:paraId="7CBE8578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ArialMT"/>
          <w:kern w:val="0"/>
          <w:sz w:val="20"/>
          <w:szCs w:val="20"/>
        </w:rPr>
        <w:t xml:space="preserve">•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Managing Director, Whole-time Director and other Board of Directors;</w:t>
      </w:r>
    </w:p>
    <w:p w14:paraId="3413508B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ArialMT"/>
          <w:kern w:val="0"/>
          <w:sz w:val="20"/>
          <w:szCs w:val="20"/>
        </w:rPr>
        <w:t xml:space="preserve">•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Chief Financial Officer;</w:t>
      </w:r>
    </w:p>
    <w:p w14:paraId="6405B963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ArialMT"/>
          <w:kern w:val="0"/>
          <w:sz w:val="20"/>
          <w:szCs w:val="20"/>
        </w:rPr>
        <w:t xml:space="preserve">•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Company Secretary;</w:t>
      </w:r>
    </w:p>
    <w:p w14:paraId="4AA60373" w14:textId="0B330179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ArialMT"/>
          <w:kern w:val="0"/>
          <w:sz w:val="20"/>
          <w:szCs w:val="20"/>
        </w:rPr>
        <w:t xml:space="preserve">•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C</w:t>
      </w:r>
      <w:r w:rsidR="00A32907">
        <w:rPr>
          <w:rFonts w:ascii="Bookman Old Style" w:hAnsi="Bookman Old Style" w:cs="Cambria"/>
          <w:kern w:val="0"/>
          <w:sz w:val="20"/>
          <w:szCs w:val="20"/>
        </w:rPr>
        <w:t>X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O (Chief Financial Officer, Chief Operating Officer, Chief Risk Officer &amp; Chief</w:t>
      </w:r>
    </w:p>
    <w:p w14:paraId="5DDF2F9D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People Officer)</w:t>
      </w:r>
    </w:p>
    <w:p w14:paraId="563275E5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Any other positions within the Company at the discretion of the Managing Director &amp; CEO in</w:t>
      </w:r>
    </w:p>
    <w:p w14:paraId="68E1C68E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consultation with the Board.</w:t>
      </w:r>
    </w:p>
    <w:p w14:paraId="1B9742DB" w14:textId="77777777" w:rsidR="00CB3012" w:rsidRDefault="00CB3012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388B12CC" w14:textId="62F2E710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“</w:t>
      </w: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Listing Regulations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” means SEBI (Listing Obligations and Disclosure Requirements)</w:t>
      </w:r>
    </w:p>
    <w:p w14:paraId="4A5CF473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Regulations, 2015, as amended from time to time.</w:t>
      </w:r>
    </w:p>
    <w:p w14:paraId="5272EFAE" w14:textId="77777777" w:rsidR="00CB3012" w:rsidRDefault="00CB3012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1E802A9B" w14:textId="55119B51" w:rsidR="006427E9" w:rsidRPr="006427E9" w:rsidRDefault="006427E9" w:rsidP="005160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“Senior management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” shall mean officers/personnel of the entity who are members of its core</w:t>
      </w:r>
      <w:r w:rsidR="00CB3012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management team excluding Board of Directors. Normally this shall comprise all members of</w:t>
      </w:r>
      <w:r w:rsidR="00CB3012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Director/manager (including chief executive officer/manager, in case they are not part of the</w:t>
      </w:r>
      <w:r w:rsidR="00CB3012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board) and shall specifically include company secretary and chief financial officer and CXO (Chief</w:t>
      </w:r>
      <w:r w:rsidR="00CB3012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Financial Officer, Chief Operating Officer, Chief Risk Officer &amp; Chief People Officer)</w:t>
      </w:r>
    </w:p>
    <w:p w14:paraId="4B88BFFA" w14:textId="77777777" w:rsidR="005160BF" w:rsidRDefault="005160BF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35EF33FB" w14:textId="5C4483FF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“</w:t>
      </w: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Policy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” means this Policy on Succession Planning for the Board and Senior Management</w:t>
      </w:r>
    </w:p>
    <w:p w14:paraId="34A9FC73" w14:textId="77777777" w:rsid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including any amendments, if any made from time to time.</w:t>
      </w:r>
    </w:p>
    <w:p w14:paraId="5A5E900A" w14:textId="77777777" w:rsidR="00B859F9" w:rsidRPr="006427E9" w:rsidRDefault="00B859F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0DA34D76" w14:textId="00B3D282" w:rsidR="006427E9" w:rsidRPr="006427E9" w:rsidRDefault="006427E9" w:rsidP="004171E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Any other term not defined herein shall have the same meaning as defined in the Companies Act,</w:t>
      </w:r>
      <w:r w:rsidR="00B859F9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2013, the LODR regulations or any other applicable law or regulation to the extent applicable to</w:t>
      </w:r>
      <w:r w:rsidR="000947C9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the Company</w:t>
      </w:r>
    </w:p>
    <w:p w14:paraId="4CDF70D9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lastRenderedPageBreak/>
        <w:t>Objectives of the Succession Planning Policy:</w:t>
      </w:r>
    </w:p>
    <w:p w14:paraId="00D90935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32F90B86" w14:textId="6DD433ED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The objectives of the succession planning policy shall, inter-alia, include the following:</w:t>
      </w:r>
    </w:p>
    <w:p w14:paraId="1D589044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173BF397" w14:textId="2142DE58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a) To identify and nominate suitable candidates for the Board’s approval to fill the</w:t>
      </w:r>
    </w:p>
    <w:p w14:paraId="71FCAE83" w14:textId="77777777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vacancies which arises in the Board of Directors from time to time.</w:t>
      </w:r>
    </w:p>
    <w:p w14:paraId="38A08195" w14:textId="77777777" w:rsidR="004171E0" w:rsidRDefault="004171E0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05BFBC72" w14:textId="69A34BD1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b) To identify the competency requirements of critical and key positions, assess potential</w:t>
      </w:r>
    </w:p>
    <w:p w14:paraId="27AD27C6" w14:textId="77777777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candidates and develop required competency through planned development and</w:t>
      </w:r>
    </w:p>
    <w:p w14:paraId="38DB9FE9" w14:textId="77777777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learning initiatives.</w:t>
      </w:r>
    </w:p>
    <w:p w14:paraId="61969889" w14:textId="77777777" w:rsidR="004171E0" w:rsidRDefault="004171E0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5C928456" w14:textId="0097FB76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c) To identify the key job incumbents in Senior Managerial positions and recommend</w:t>
      </w:r>
    </w:p>
    <w:p w14:paraId="7BEBB726" w14:textId="77777777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whether the concerned individual (i) be granted an extension in term/service or (b)</w:t>
      </w:r>
    </w:p>
    <w:p w14:paraId="1CDE19D4" w14:textId="77777777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be replaced with an identified internal or external candidate or recruit other suitable</w:t>
      </w:r>
    </w:p>
    <w:p w14:paraId="0F919896" w14:textId="77777777" w:rsidR="006427E9" w:rsidRPr="006427E9" w:rsidRDefault="006427E9" w:rsidP="00956B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candidate(s).</w:t>
      </w:r>
    </w:p>
    <w:p w14:paraId="216A63F0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5F97594E" w14:textId="6966A239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Applicability</w:t>
      </w:r>
    </w:p>
    <w:p w14:paraId="5C216C3C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4C49E29F" w14:textId="0988B200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The Policy shall be applicable for succession planning of the following personnel:</w:t>
      </w:r>
    </w:p>
    <w:p w14:paraId="4987CD12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ArialMT"/>
          <w:kern w:val="0"/>
          <w:sz w:val="20"/>
          <w:szCs w:val="20"/>
        </w:rPr>
        <w:t xml:space="preserve">•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Managing Director, Whole-time Director and other Board of Directors;</w:t>
      </w:r>
    </w:p>
    <w:p w14:paraId="79D3072C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ArialMT"/>
          <w:kern w:val="0"/>
          <w:sz w:val="20"/>
          <w:szCs w:val="20"/>
        </w:rPr>
        <w:t xml:space="preserve">•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Chief Financial Officer;</w:t>
      </w:r>
    </w:p>
    <w:p w14:paraId="2FC728CF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ArialMT"/>
          <w:kern w:val="0"/>
          <w:sz w:val="20"/>
          <w:szCs w:val="20"/>
        </w:rPr>
        <w:t xml:space="preserve">•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Company Secretary;</w:t>
      </w:r>
    </w:p>
    <w:p w14:paraId="06755090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ArialMT"/>
          <w:kern w:val="0"/>
          <w:sz w:val="20"/>
          <w:szCs w:val="20"/>
        </w:rPr>
        <w:t xml:space="preserve">•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CXO (Chief Financial Officer, Chief Operating Officer, Chief Risk Officer &amp; Chief</w:t>
      </w:r>
    </w:p>
    <w:p w14:paraId="5DA0631A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People Officer)</w:t>
      </w:r>
    </w:p>
    <w:p w14:paraId="72E19D97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6D06BE86" w14:textId="404D5C7A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Any other positions within the Company at the discretion of the Managing Director &amp; CEO in</w:t>
      </w:r>
    </w:p>
    <w:p w14:paraId="36C811F7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consultation with the Board.</w:t>
      </w:r>
    </w:p>
    <w:p w14:paraId="4A3F8020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3466112A" w14:textId="09422985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Succession Plan for the Board and Senior Management</w:t>
      </w:r>
    </w:p>
    <w:p w14:paraId="4662330D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4AAD4954" w14:textId="62829385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The Nomination and Remuneration Committee of the Company shall oversee and review</w:t>
      </w:r>
    </w:p>
    <w:p w14:paraId="74E309E2" w14:textId="77777777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succession plans from time to time and recommend the same to the Board.</w:t>
      </w:r>
    </w:p>
    <w:p w14:paraId="3A3370FE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44FF124C" w14:textId="012316EF" w:rsidR="006427E9" w:rsidRPr="006427E9" w:rsidRDefault="006427E9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Succession Plan for the Board</w:t>
      </w:r>
    </w:p>
    <w:p w14:paraId="2921A58B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086DB65E" w14:textId="5467B1ED" w:rsidR="006427E9" w:rsidRPr="006427E9" w:rsidRDefault="006427E9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The Nomination and Remuneration Committee shall proactively review the succession</w:t>
      </w:r>
    </w:p>
    <w:p w14:paraId="35D67853" w14:textId="7BD9AE8F" w:rsidR="006427E9" w:rsidRPr="006427E9" w:rsidRDefault="006427E9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requirements for the Board and carry out the due diligence process to determine the suitability</w:t>
      </w:r>
      <w:r w:rsidR="004171E0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of every person who is being considered for being appointed or re-appointed as a Director of the</w:t>
      </w:r>
      <w:r w:rsidR="004171E0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Company based on his educational qualification, relevant experience, track record, reputation</w:t>
      </w:r>
      <w:r w:rsidR="004171E0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etc.</w:t>
      </w:r>
    </w:p>
    <w:p w14:paraId="7081F6BF" w14:textId="77777777" w:rsidR="0083735F" w:rsidRDefault="0083735F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58291F76" w14:textId="76BE5B78" w:rsidR="006427E9" w:rsidRPr="006427E9" w:rsidRDefault="006427E9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The proposed candidate shall be evaluated by the Nomination and Remuneration Committee to</w:t>
      </w:r>
      <w:r w:rsidR="0083735F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determine the eligibility and fit and proper criteria as per the Companies Act 2013, and the</w:t>
      </w:r>
    </w:p>
    <w:p w14:paraId="3508947E" w14:textId="6DADEC37" w:rsidR="006427E9" w:rsidRPr="006427E9" w:rsidRDefault="006427E9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guidelines issued by the Reserve Bank of India, if any, and thereafter such candidature shall be</w:t>
      </w:r>
      <w:r w:rsidR="0083735F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recommended to the Board for its consideration and approval.</w:t>
      </w:r>
    </w:p>
    <w:p w14:paraId="323409F6" w14:textId="77777777" w:rsidR="0083735F" w:rsidRDefault="0083735F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</w:p>
    <w:p w14:paraId="2535775F" w14:textId="444BFCF5" w:rsidR="006427E9" w:rsidRPr="006427E9" w:rsidRDefault="006427E9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Succession Plan for Senior Management Personnel</w:t>
      </w:r>
    </w:p>
    <w:p w14:paraId="69E26E05" w14:textId="77777777" w:rsidR="0083735F" w:rsidRDefault="0083735F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0F3149F0" w14:textId="116EFCBC" w:rsidR="006427E9" w:rsidRPr="006427E9" w:rsidRDefault="006427E9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Based on the inputs received from the Human Resource Department, the Nomination and</w:t>
      </w:r>
    </w:p>
    <w:p w14:paraId="285D1E70" w14:textId="6A8562C8" w:rsidR="006427E9" w:rsidRPr="006427E9" w:rsidRDefault="006427E9" w:rsidP="006E566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Remuneration Committee shall review any vacancy / probable vacancy in the position of Senior</w:t>
      </w:r>
      <w:r w:rsidR="004171E0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Management Personnel which may arise on account of retirement, resignation, death, removal,</w:t>
      </w:r>
      <w:r w:rsidR="004171E0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transfer, business expansion, incapacity whether temporary or permanent or otherwise.</w:t>
      </w:r>
    </w:p>
    <w:p w14:paraId="57C403DD" w14:textId="77777777" w:rsidR="004171E0" w:rsidRDefault="004171E0" w:rsidP="006427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kern w:val="0"/>
          <w:sz w:val="20"/>
          <w:szCs w:val="20"/>
        </w:rPr>
      </w:pPr>
    </w:p>
    <w:p w14:paraId="4E6E2DD8" w14:textId="6D118C7B" w:rsidR="006427E9" w:rsidRPr="006427E9" w:rsidRDefault="006427E9" w:rsidP="000219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 xml:space="preserve">For Key Managerial Personnel &amp; Senior Management Personnel appointment shall be </w:t>
      </w:r>
      <w:r w:rsidR="0002191C">
        <w:rPr>
          <w:rFonts w:ascii="Bookman Old Style" w:hAnsi="Bookman Old Style" w:cs="Cambria"/>
          <w:kern w:val="0"/>
          <w:sz w:val="20"/>
          <w:szCs w:val="20"/>
        </w:rPr>
        <w:t xml:space="preserve"> c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onsidered</w:t>
      </w:r>
      <w:r w:rsidR="00294A92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and recommended by the Nomination and Remuneration Committee and thereafter approved by</w:t>
      </w:r>
      <w:r w:rsidR="00294A92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the Board Chairman to evaluate the suitability of any person based on factors viz., educational</w:t>
      </w:r>
      <w:r w:rsidR="00294A92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qualification, experience, age, health, leadership qualities, suitability to external market</w:t>
      </w:r>
      <w:r w:rsidR="00294A92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requirement / expectation etc., and recommend his/ her candidature to the Board well before</w:t>
      </w:r>
      <w:r w:rsidR="0002191C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such vacancy arises to facilitate smooth transition.</w:t>
      </w:r>
    </w:p>
    <w:p w14:paraId="68BDA663" w14:textId="7C7E3558" w:rsidR="006427E9" w:rsidRDefault="006427E9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lastRenderedPageBreak/>
        <w:t>The Nomination and Remuneration Committee shall also identify the competency requirements</w:t>
      </w:r>
      <w:r w:rsidR="0002191C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of Board/key positions, assess potential candidates and develop required competency through</w:t>
      </w:r>
      <w:r w:rsidR="0002191C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planned development and learning initiatives. The Nomination and Remuneration Committee</w:t>
      </w:r>
      <w:r w:rsidR="0002191C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may utilize the services of professional search firms to assist in identifying and evaluating</w:t>
      </w:r>
      <w:r w:rsidR="0002191C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potential candidates.</w:t>
      </w:r>
    </w:p>
    <w:p w14:paraId="1438DCE2" w14:textId="77777777" w:rsidR="009A340B" w:rsidRPr="006427E9" w:rsidRDefault="009A340B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4EA51ED9" w14:textId="77777777" w:rsidR="006427E9" w:rsidRPr="006427E9" w:rsidRDefault="006427E9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In the event of any unexpected occurrence in respect of any member in the core management</w:t>
      </w:r>
    </w:p>
    <w:p w14:paraId="3EBF5366" w14:textId="6287D53D" w:rsidR="006427E9" w:rsidRPr="006427E9" w:rsidRDefault="006427E9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team, the next person as per the organization chart and hierarchy shall take interim charge of the</w:t>
      </w:r>
      <w:r w:rsidR="009A340B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position, pending a regular appointment in terms of the succession plan.</w:t>
      </w:r>
    </w:p>
    <w:p w14:paraId="493A4B6B" w14:textId="77777777" w:rsidR="009A340B" w:rsidRDefault="009A340B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4CEF4A0B" w14:textId="100C76E8" w:rsidR="006427E9" w:rsidRPr="006427E9" w:rsidRDefault="006427E9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In addition to the above, the appointment of Key Managerial Personnel shall be made in</w:t>
      </w:r>
    </w:p>
    <w:p w14:paraId="5EAB7674" w14:textId="39BB0749" w:rsidR="006427E9" w:rsidRDefault="006427E9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compliance with all applicable provisions of the Companying Regulation Act, 1949, Companies</w:t>
      </w:r>
      <w:r w:rsidR="009A340B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Act, 2013 (including the rules made there under), Listing Regulations and RBI Guidelines etc.</w:t>
      </w:r>
    </w:p>
    <w:p w14:paraId="18014729" w14:textId="77777777" w:rsidR="009A340B" w:rsidRPr="006427E9" w:rsidRDefault="009A340B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72EC357A" w14:textId="77777777" w:rsidR="006427E9" w:rsidRPr="006427E9" w:rsidRDefault="006427E9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-Bold"/>
          <w:b/>
          <w:bCs/>
          <w:kern w:val="0"/>
          <w:sz w:val="20"/>
          <w:szCs w:val="20"/>
        </w:rPr>
      </w:pPr>
      <w:r w:rsidRPr="006427E9">
        <w:rPr>
          <w:rFonts w:ascii="Bookman Old Style" w:hAnsi="Bookman Old Style" w:cs="Cambria-Bold"/>
          <w:b/>
          <w:bCs/>
          <w:kern w:val="0"/>
          <w:sz w:val="20"/>
          <w:szCs w:val="20"/>
        </w:rPr>
        <w:t>Review of the Policy</w:t>
      </w:r>
    </w:p>
    <w:p w14:paraId="3C79A28F" w14:textId="77777777" w:rsidR="00BC6073" w:rsidRDefault="00BC6073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6ACC7464" w14:textId="70DF2ACB" w:rsidR="006427E9" w:rsidRPr="006427E9" w:rsidRDefault="006427E9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In case of any amendment (s), clarification(s), circular (s) etc. issued by the relevant</w:t>
      </w:r>
    </w:p>
    <w:p w14:paraId="409A0FE6" w14:textId="77777777" w:rsidR="006427E9" w:rsidRPr="006427E9" w:rsidRDefault="006427E9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authorities, not being consistent with the provisions laid down under this policy, then such</w:t>
      </w:r>
    </w:p>
    <w:p w14:paraId="7160AFDC" w14:textId="77777777" w:rsidR="006427E9" w:rsidRPr="006427E9" w:rsidRDefault="006427E9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amendments(s), clarification(s), circular(s) etc. shall prevail upon the provisions of this policy</w:t>
      </w:r>
    </w:p>
    <w:p w14:paraId="25478BCD" w14:textId="77777777" w:rsidR="006427E9" w:rsidRPr="006427E9" w:rsidRDefault="006427E9" w:rsidP="00C248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and the policy shall stand amended accordingly.</w:t>
      </w:r>
    </w:p>
    <w:p w14:paraId="0550400D" w14:textId="77777777" w:rsidR="00B20854" w:rsidRDefault="00B20854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</w:p>
    <w:p w14:paraId="44CAFB22" w14:textId="4D5D09DD" w:rsidR="006427E9" w:rsidRPr="006427E9" w:rsidRDefault="006427E9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Any change in the Policy shall be approved by the Board of Directors of the Company. The</w:t>
      </w:r>
    </w:p>
    <w:p w14:paraId="3A112204" w14:textId="77777777" w:rsidR="006427E9" w:rsidRPr="006427E9" w:rsidRDefault="006427E9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mbria"/>
          <w:kern w:val="0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Board of Directors shall have the right to withdraw and / or amend any part of this Policy or</w:t>
      </w:r>
    </w:p>
    <w:p w14:paraId="27932919" w14:textId="468F4CBC" w:rsidR="00BF76B4" w:rsidRPr="006427E9" w:rsidRDefault="006427E9" w:rsidP="00B2085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427E9">
        <w:rPr>
          <w:rFonts w:ascii="Bookman Old Style" w:hAnsi="Bookman Old Style" w:cs="Cambria"/>
          <w:kern w:val="0"/>
          <w:sz w:val="20"/>
          <w:szCs w:val="20"/>
        </w:rPr>
        <w:t>the entire Policy, at any time, as it deems fit, or from time to time, and the decision of the Board</w:t>
      </w:r>
      <w:r w:rsidR="00B20854">
        <w:rPr>
          <w:rFonts w:ascii="Bookman Old Style" w:hAnsi="Bookman Old Style" w:cs="Cambria"/>
          <w:kern w:val="0"/>
          <w:sz w:val="20"/>
          <w:szCs w:val="20"/>
        </w:rPr>
        <w:t xml:space="preserve"> </w:t>
      </w:r>
      <w:r w:rsidRPr="006427E9">
        <w:rPr>
          <w:rFonts w:ascii="Bookman Old Style" w:hAnsi="Bookman Old Style" w:cs="Cambria"/>
          <w:kern w:val="0"/>
          <w:sz w:val="20"/>
          <w:szCs w:val="20"/>
        </w:rPr>
        <w:t>in this respect shall be final and binding.</w:t>
      </w:r>
    </w:p>
    <w:sectPr w:rsidR="00BF76B4" w:rsidRPr="006427E9" w:rsidSect="006427E9">
      <w:pgSz w:w="11906" w:h="16838"/>
      <w:pgMar w:top="1440" w:right="1274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A8"/>
    <w:rsid w:val="0002191C"/>
    <w:rsid w:val="000947C9"/>
    <w:rsid w:val="000D516D"/>
    <w:rsid w:val="00294A92"/>
    <w:rsid w:val="004171E0"/>
    <w:rsid w:val="005160BF"/>
    <w:rsid w:val="006427E9"/>
    <w:rsid w:val="006E5662"/>
    <w:rsid w:val="007E1AFE"/>
    <w:rsid w:val="0083735F"/>
    <w:rsid w:val="00956B5F"/>
    <w:rsid w:val="009A340B"/>
    <w:rsid w:val="009B35A8"/>
    <w:rsid w:val="00A115F0"/>
    <w:rsid w:val="00A32907"/>
    <w:rsid w:val="00B20854"/>
    <w:rsid w:val="00B859F9"/>
    <w:rsid w:val="00BC6073"/>
    <w:rsid w:val="00BF76B4"/>
    <w:rsid w:val="00C248B1"/>
    <w:rsid w:val="00C34681"/>
    <w:rsid w:val="00CB3012"/>
    <w:rsid w:val="00DB641B"/>
    <w:rsid w:val="00EA2381"/>
    <w:rsid w:val="00EC3548"/>
    <w:rsid w:val="00EF05A3"/>
    <w:rsid w:val="00F2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4F00"/>
  <w15:chartTrackingRefBased/>
  <w15:docId w15:val="{21FF478F-0E99-4C9F-A0F4-60CC92EE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falguni shah</dc:creator>
  <cp:keywords/>
  <dc:description/>
  <cp:lastModifiedBy>Urvashi Parmar</cp:lastModifiedBy>
  <cp:revision>42</cp:revision>
  <dcterms:created xsi:type="dcterms:W3CDTF">2023-10-09T12:09:00Z</dcterms:created>
  <dcterms:modified xsi:type="dcterms:W3CDTF">2024-08-29T10:34:00Z</dcterms:modified>
</cp:coreProperties>
</file>